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425D9" w14:textId="77777777" w:rsidR="007959F0" w:rsidRPr="00142214" w:rsidRDefault="00AA381D" w:rsidP="003C1ECE">
      <w:pPr>
        <w:pStyle w:val="Corpodetexto"/>
        <w:ind w:left="0"/>
        <w:jc w:val="center"/>
        <w:rPr>
          <w:rFonts w:asciiTheme="minorHAnsi" w:hAnsiTheme="minorHAnsi" w:cstheme="minorHAnsi"/>
        </w:rPr>
      </w:pPr>
      <w:r w:rsidRPr="00142214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5C4CF15C" wp14:editId="0ED4301D">
            <wp:extent cx="723210" cy="790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C8ED" w14:textId="77777777" w:rsidR="007959F0" w:rsidRPr="00A54CE1" w:rsidRDefault="00AA381D" w:rsidP="003C1ECE">
      <w:pPr>
        <w:pStyle w:val="Ttulo"/>
        <w:ind w:left="0" w:right="0"/>
        <w:rPr>
          <w:rFonts w:ascii="Arial" w:hAnsi="Arial" w:cs="Arial"/>
        </w:rPr>
      </w:pPr>
      <w:r w:rsidRPr="00A54CE1">
        <w:rPr>
          <w:rFonts w:ascii="Arial" w:hAnsi="Arial" w:cs="Arial"/>
        </w:rPr>
        <w:t>CÂMARA</w:t>
      </w:r>
      <w:r w:rsidRPr="00A54CE1">
        <w:rPr>
          <w:rFonts w:ascii="Arial" w:hAnsi="Arial" w:cs="Arial"/>
          <w:spacing w:val="-12"/>
        </w:rPr>
        <w:t xml:space="preserve"> </w:t>
      </w:r>
      <w:r w:rsidRPr="00A54CE1">
        <w:rPr>
          <w:rFonts w:ascii="Arial" w:hAnsi="Arial" w:cs="Arial"/>
        </w:rPr>
        <w:t>DOS</w:t>
      </w:r>
      <w:r w:rsidRPr="00A54CE1">
        <w:rPr>
          <w:rFonts w:ascii="Arial" w:hAnsi="Arial" w:cs="Arial"/>
          <w:spacing w:val="-7"/>
        </w:rPr>
        <w:t xml:space="preserve"> </w:t>
      </w:r>
      <w:r w:rsidRPr="00A54CE1">
        <w:rPr>
          <w:rFonts w:ascii="Arial" w:hAnsi="Arial" w:cs="Arial"/>
          <w:spacing w:val="-2"/>
        </w:rPr>
        <w:t>DEPUTADOS</w:t>
      </w:r>
    </w:p>
    <w:p w14:paraId="44C516CC" w14:textId="77777777" w:rsidR="007959F0" w:rsidRPr="00A54CE1" w:rsidRDefault="00AA381D" w:rsidP="003C1ECE">
      <w:pPr>
        <w:spacing w:before="74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A54CE1">
        <w:rPr>
          <w:rFonts w:ascii="Arial" w:hAnsi="Arial" w:cs="Arial"/>
          <w:b/>
          <w:sz w:val="24"/>
          <w:szCs w:val="24"/>
        </w:rPr>
        <w:t>Gabinete</w:t>
      </w:r>
      <w:r w:rsidRPr="00A54CE1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A54CE1">
        <w:rPr>
          <w:rFonts w:ascii="Arial" w:hAnsi="Arial" w:cs="Arial"/>
          <w:b/>
          <w:sz w:val="24"/>
          <w:szCs w:val="24"/>
        </w:rPr>
        <w:t>do</w:t>
      </w:r>
      <w:r w:rsidRPr="00A54CE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54CE1">
        <w:rPr>
          <w:rFonts w:ascii="Arial" w:hAnsi="Arial" w:cs="Arial"/>
          <w:b/>
          <w:sz w:val="24"/>
          <w:szCs w:val="24"/>
        </w:rPr>
        <w:t>Deputado</w:t>
      </w:r>
      <w:r w:rsidRPr="00A54CE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54CE1">
        <w:rPr>
          <w:rFonts w:ascii="Arial" w:hAnsi="Arial" w:cs="Arial"/>
          <w:b/>
          <w:sz w:val="24"/>
          <w:szCs w:val="24"/>
        </w:rPr>
        <w:t>SARGENTO</w:t>
      </w:r>
      <w:r w:rsidRPr="00A54CE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A54CE1">
        <w:rPr>
          <w:rFonts w:ascii="Arial" w:hAnsi="Arial" w:cs="Arial"/>
          <w:b/>
          <w:sz w:val="24"/>
          <w:szCs w:val="24"/>
        </w:rPr>
        <w:t>PORTUGAL</w:t>
      </w:r>
      <w:r w:rsidRPr="00A54CE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54CE1">
        <w:rPr>
          <w:rFonts w:ascii="Arial" w:hAnsi="Arial" w:cs="Arial"/>
          <w:b/>
          <w:sz w:val="24"/>
          <w:szCs w:val="24"/>
        </w:rPr>
        <w:t>–</w:t>
      </w:r>
      <w:r w:rsidRPr="00A54CE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54CE1">
        <w:rPr>
          <w:rFonts w:ascii="Arial" w:hAnsi="Arial" w:cs="Arial"/>
          <w:b/>
          <w:spacing w:val="-2"/>
          <w:sz w:val="24"/>
          <w:szCs w:val="24"/>
        </w:rPr>
        <w:t>PODE/RJ</w:t>
      </w:r>
    </w:p>
    <w:p w14:paraId="57CE051E" w14:textId="77777777" w:rsidR="00A54CE1" w:rsidRPr="00A54CE1" w:rsidRDefault="00A54CE1" w:rsidP="003C1ECE">
      <w:pPr>
        <w:spacing w:before="74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15A73F65" w14:textId="1798BABF" w:rsidR="00A54CE1" w:rsidRPr="00A54CE1" w:rsidRDefault="009B55BD" w:rsidP="003C1ECE">
      <w:pPr>
        <w:spacing w:before="74"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RELEASE</w:t>
      </w:r>
    </w:p>
    <w:p w14:paraId="4A0FF800" w14:textId="77777777" w:rsidR="00E45B1F" w:rsidRDefault="00E45B1F" w:rsidP="00E45B1F">
      <w:pPr>
        <w:pStyle w:val="Ttulo1"/>
        <w:spacing w:before="240" w:after="240" w:line="360" w:lineRule="auto"/>
        <w:ind w:firstLine="1701"/>
        <w:jc w:val="both"/>
        <w:rPr>
          <w:rFonts w:ascii="Arial" w:hAnsi="Arial" w:cs="Arial"/>
        </w:rPr>
      </w:pPr>
    </w:p>
    <w:p w14:paraId="7D0C4A7B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</w:rPr>
      </w:pPr>
      <w:r w:rsidRPr="001E3B43">
        <w:rPr>
          <w:rFonts w:ascii="Arial" w:hAnsi="Arial" w:cs="Arial"/>
        </w:rPr>
        <w:t>STF reafirma papel das Guardas Municipais na segurança urbana e fortalece proposta da PEC 57/2023</w:t>
      </w:r>
    </w:p>
    <w:p w14:paraId="5B924DAA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</w:rPr>
      </w:pPr>
    </w:p>
    <w:p w14:paraId="16BA4BB3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t>Brasília, 20 de fevereiro de 2025 — Em uma decisão histórica, o Supremo Tribunal Federal (STF) confirmou, nesta quinta-feira (20), a constitucionalidade das leis municipais que conferem às Guardas Municipais atribuições em ações de segurança urbana, desde que respeitados os limites constitucionais e a cooperação com as Polícias Civil e Militar. A decisão, tomada no julgamento do Recurso Extraordinário (RE) 608588 com repercussão geral, reforça a necessidade de um papel mais estruturado dos agentes municipais na segurança pública.</w:t>
      </w:r>
    </w:p>
    <w:p w14:paraId="3081AF51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t>O veredicto do STF se alinha diretamente às diretrizes da Proposta de Emenda à Constituição (PEC) 57/2023, de autoria do deputado Sargento Portugal e outros parlamentares, que propõe a transformação das Guardas Municipais em Polícias Municipais. A proposta busca inserir essas instituições no artigo 144 da Constituição Federal, conferindo-lhes respaldo legal definitivo para atuar na preservação da ordem pública e segurança das populações locais.</w:t>
      </w:r>
    </w:p>
    <w:p w14:paraId="34C7B135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t xml:space="preserve">Com a decisão do STF, as Guardas Municipais passam a ser reconhecidas como peças fundamentais no Sistema de Segurança Pública, podendo realizar policiamento ostensivo e comunitário, bem como efetuar prisões em flagrante, respeitando as funções das demais corporações policiais. O reconhecimento do papel ativo dos </w:t>
      </w:r>
      <w:bookmarkStart w:id="0" w:name="_GoBack"/>
      <w:bookmarkEnd w:id="0"/>
      <w:r w:rsidRPr="001E3B43">
        <w:rPr>
          <w:rFonts w:ascii="Arial" w:hAnsi="Arial" w:cs="Arial"/>
          <w:b w:val="0"/>
        </w:rPr>
        <w:t>municípios na segurança reforça a justificativa para a aprovação da PEC 57/2023, que prevê a mudança da nomenclatura para Polícias Municipais e amplia suas prerrogativas.</w:t>
      </w:r>
    </w:p>
    <w:p w14:paraId="70F89346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lastRenderedPageBreak/>
        <w:t>O relator do julgamento, ministro Luiz Fux, destacou que as Guardas Municipais devem atuar de maneira cooperativa com os demais órgãos de segurança, reforçando o combate à criminalidade de forma integrada. O ministro Alexandre de Moraes, por sua vez, enfatizou que a segurança pública é responsabilidade de todos os entes federativos, e que as guardas municipais não podem ser relegadas à proteção patrimonial apenas.</w:t>
      </w:r>
    </w:p>
    <w:p w14:paraId="3AA9827B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t xml:space="preserve">A PEC 57/2023 surge em resposta à crescente demanda por maior efetividade no combate à violência urbana. Com a sua aprovação, as Guardas Municipais serão formalmente reconhecidas como Polícias Municipais, com acesso aos recursos do Fundo Nacional de Segurança Pública (FNSP) e integração ao Sistema Único de Segurança Pública (SUSP). Isso permitirá maior investimento em treinamentos, estrutura e armamento, garantindo melhores condições de trabalho aos </w:t>
      </w:r>
      <w:proofErr w:type="gramStart"/>
      <w:r w:rsidRPr="001E3B43">
        <w:rPr>
          <w:rFonts w:ascii="Arial" w:hAnsi="Arial" w:cs="Arial"/>
          <w:b w:val="0"/>
        </w:rPr>
        <w:t>agentes e maior segurança</w:t>
      </w:r>
      <w:proofErr w:type="gramEnd"/>
      <w:r w:rsidRPr="001E3B43">
        <w:rPr>
          <w:rFonts w:ascii="Arial" w:hAnsi="Arial" w:cs="Arial"/>
          <w:b w:val="0"/>
        </w:rPr>
        <w:t xml:space="preserve"> à população.</w:t>
      </w:r>
    </w:p>
    <w:p w14:paraId="4ABB11CF" w14:textId="77777777" w:rsidR="001E3B43" w:rsidRPr="001E3B43" w:rsidRDefault="001E3B43" w:rsidP="001E3B43">
      <w:pPr>
        <w:pStyle w:val="Ttulo1"/>
        <w:spacing w:before="20" w:after="20" w:line="360" w:lineRule="auto"/>
        <w:ind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t>Para o deputado Sargento Portugal, um dos principais defensores da PEC, a decisão do STF é um passo fundamental para consolidar a segurança municipal como parte integrante da estrutura nacional. "A decisão do STF legitima nossa luta para garantir que as Guardas Municipais tenham as condições necessárias para proteger a população com maior eficácia. Com a aprovação da PEC 57/2023, finalmente teremos a segurança jurídica necessária para fortalecer essas instituições", afirmou o parlamentar.</w:t>
      </w:r>
    </w:p>
    <w:p w14:paraId="755EB774" w14:textId="13E8EAB1" w:rsidR="00E45B1F" w:rsidRPr="001E3B43" w:rsidRDefault="001E3B43" w:rsidP="001E3B43">
      <w:pPr>
        <w:pStyle w:val="Ttulo1"/>
        <w:spacing w:before="20" w:after="20" w:line="360" w:lineRule="auto"/>
        <w:ind w:left="0" w:firstLine="1701"/>
        <w:jc w:val="both"/>
        <w:rPr>
          <w:rFonts w:ascii="Arial" w:hAnsi="Arial" w:cs="Arial"/>
          <w:b w:val="0"/>
        </w:rPr>
      </w:pPr>
      <w:r w:rsidRPr="001E3B43">
        <w:rPr>
          <w:rFonts w:ascii="Arial" w:hAnsi="Arial" w:cs="Arial"/>
          <w:b w:val="0"/>
        </w:rPr>
        <w:t xml:space="preserve">A proposta segue em tramitação na Câmara dos Deputados e tem ganhado apoio de diversos setores da sociedade, especialmente entre os profissionais de segurança. Com a decisão do STF, a expectativa é que haja um avanço significativo nas discussões sobre a </w:t>
      </w:r>
      <w:proofErr w:type="gramStart"/>
      <w:r w:rsidRPr="001E3B43">
        <w:rPr>
          <w:rFonts w:ascii="Arial" w:hAnsi="Arial" w:cs="Arial"/>
          <w:b w:val="0"/>
        </w:rPr>
        <w:t>implementação</w:t>
      </w:r>
      <w:proofErr w:type="gramEnd"/>
      <w:r w:rsidRPr="001E3B43">
        <w:rPr>
          <w:rFonts w:ascii="Arial" w:hAnsi="Arial" w:cs="Arial"/>
          <w:b w:val="0"/>
        </w:rPr>
        <w:t xml:space="preserve"> das Polícias Municipais e seu papel </w:t>
      </w:r>
      <w:r w:rsidRPr="001E3B43">
        <w:rPr>
          <w:rFonts w:ascii="Arial" w:hAnsi="Arial" w:cs="Arial"/>
          <w:b w:val="0"/>
        </w:rPr>
        <w:t>na segurança pública brasileira</w:t>
      </w:r>
      <w:r w:rsidR="00E45B1F" w:rsidRPr="001E3B43">
        <w:rPr>
          <w:rFonts w:ascii="Arial" w:hAnsi="Arial" w:cs="Arial"/>
          <w:b w:val="0"/>
        </w:rPr>
        <w:t>.</w:t>
      </w:r>
    </w:p>
    <w:p w14:paraId="16395E82" w14:textId="77777777" w:rsidR="00E45B1F" w:rsidRDefault="00E45B1F" w:rsidP="00E45B1F">
      <w:pPr>
        <w:pStyle w:val="Ttulo1"/>
        <w:spacing w:before="20" w:after="20" w:line="360" w:lineRule="auto"/>
        <w:ind w:left="0" w:firstLine="1701"/>
        <w:jc w:val="both"/>
        <w:rPr>
          <w:rFonts w:ascii="Arial" w:hAnsi="Arial" w:cs="Arial"/>
          <w:b w:val="0"/>
        </w:rPr>
      </w:pPr>
    </w:p>
    <w:p w14:paraId="48FAE9A9" w14:textId="4DB0E476" w:rsidR="009B55BD" w:rsidRPr="009B55BD" w:rsidRDefault="009B55BD" w:rsidP="00E45B1F">
      <w:pPr>
        <w:pStyle w:val="Ttulo1"/>
        <w:spacing w:before="20" w:after="20" w:line="360" w:lineRule="auto"/>
        <w:ind w:left="0" w:firstLine="1701"/>
        <w:jc w:val="both"/>
        <w:rPr>
          <w:rFonts w:ascii="Arial" w:hAnsi="Arial" w:cs="Arial"/>
        </w:rPr>
      </w:pPr>
      <w:r w:rsidRPr="009B55BD">
        <w:rPr>
          <w:rFonts w:ascii="Arial" w:hAnsi="Arial" w:cs="Arial"/>
        </w:rPr>
        <w:t>Assessoria de Comunicação</w:t>
      </w:r>
    </w:p>
    <w:p w14:paraId="0759FA6F" w14:textId="77777777" w:rsidR="009B55BD" w:rsidRDefault="009B55BD" w:rsidP="009B55BD">
      <w:pPr>
        <w:pStyle w:val="Ttulo1"/>
        <w:spacing w:before="20" w:after="20" w:line="360" w:lineRule="auto"/>
        <w:ind w:left="0" w:firstLine="1701"/>
        <w:jc w:val="both"/>
        <w:rPr>
          <w:rFonts w:ascii="Arial" w:hAnsi="Arial" w:cs="Arial"/>
          <w:b w:val="0"/>
        </w:rPr>
      </w:pPr>
      <w:r w:rsidRPr="009B55BD">
        <w:rPr>
          <w:rFonts w:ascii="Arial" w:hAnsi="Arial" w:cs="Arial"/>
          <w:b w:val="0"/>
        </w:rPr>
        <w:t>Gabinete do Deputado Sargento Portugal (PODE/RJ)</w:t>
      </w:r>
    </w:p>
    <w:p w14:paraId="38DDFB13" w14:textId="21E92FBF" w:rsidR="00053CCD" w:rsidRPr="000C0066" w:rsidRDefault="009B55BD" w:rsidP="009B55BD">
      <w:pPr>
        <w:pStyle w:val="Ttulo1"/>
        <w:spacing w:before="20" w:after="20" w:line="360" w:lineRule="auto"/>
        <w:ind w:left="0" w:firstLine="1701"/>
        <w:jc w:val="both"/>
        <w:rPr>
          <w:rFonts w:ascii="Arial" w:hAnsi="Arial" w:cs="Arial"/>
          <w:b w:val="0"/>
          <w:lang w:val="pt-BR"/>
        </w:rPr>
      </w:pPr>
      <w:r w:rsidRPr="009B55BD">
        <w:rPr>
          <w:rFonts w:ascii="Arial" w:hAnsi="Arial" w:cs="Arial"/>
          <w:b w:val="0"/>
        </w:rPr>
        <w:t>Câmara dos Deputados</w:t>
      </w:r>
    </w:p>
    <w:p w14:paraId="2DF5296F" w14:textId="77777777" w:rsidR="001E3B43" w:rsidRPr="000C0066" w:rsidRDefault="001E3B43">
      <w:pPr>
        <w:pStyle w:val="Ttulo1"/>
        <w:spacing w:before="20" w:after="20" w:line="360" w:lineRule="auto"/>
        <w:ind w:left="0" w:firstLine="1701"/>
        <w:jc w:val="both"/>
        <w:rPr>
          <w:rFonts w:ascii="Arial" w:hAnsi="Arial" w:cs="Arial"/>
          <w:b w:val="0"/>
          <w:lang w:val="pt-BR"/>
        </w:rPr>
      </w:pPr>
    </w:p>
    <w:sectPr w:rsidR="001E3B43" w:rsidRPr="000C0066" w:rsidSect="000C0066">
      <w:footerReference w:type="default" r:id="rId9"/>
      <w:pgSz w:w="11920" w:h="16850"/>
      <w:pgMar w:top="709" w:right="1440" w:bottom="1701" w:left="1678" w:header="0" w:footer="1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8677B" w14:textId="77777777" w:rsidR="00936F9D" w:rsidRDefault="00936F9D">
      <w:r>
        <w:separator/>
      </w:r>
    </w:p>
  </w:endnote>
  <w:endnote w:type="continuationSeparator" w:id="0">
    <w:p w14:paraId="7B91ED59" w14:textId="77777777" w:rsidR="00936F9D" w:rsidRDefault="0093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49C1C" w14:textId="08ED357A" w:rsidR="007959F0" w:rsidRDefault="00646AB4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360B34" wp14:editId="295DA770">
              <wp:simplePos x="0" y="0"/>
              <wp:positionH relativeFrom="page">
                <wp:posOffset>1068070</wp:posOffset>
              </wp:positionH>
              <wp:positionV relativeFrom="page">
                <wp:posOffset>9739630</wp:posOffset>
              </wp:positionV>
              <wp:extent cx="5387975" cy="336550"/>
              <wp:effectExtent l="0" t="0" r="0" b="0"/>
              <wp:wrapNone/>
              <wp:docPr id="2215028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7A61" w14:textId="635A933A" w:rsidR="007959F0" w:rsidRDefault="007959F0">
                          <w:pPr>
                            <w:ind w:left="56" w:right="56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4.1pt;margin-top:766.9pt;width:424.25pt;height:2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" filled="f" stroked="f">
              <v:textbox inset="0,0,0,0">
                <w:txbxContent>
                  <w:p w14:paraId="05887A61" w14:textId="635A933A" w:rsidR="007959F0" w:rsidRDefault="007959F0">
                    <w:pPr>
                      <w:ind w:left="56" w:right="56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5B91E" w14:textId="77777777" w:rsidR="00936F9D" w:rsidRDefault="00936F9D">
      <w:r>
        <w:separator/>
      </w:r>
    </w:p>
  </w:footnote>
  <w:footnote w:type="continuationSeparator" w:id="0">
    <w:p w14:paraId="56CDDDD9" w14:textId="77777777" w:rsidR="00936F9D" w:rsidRDefault="0093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5694"/>
    <w:multiLevelType w:val="hybridMultilevel"/>
    <w:tmpl w:val="4AF4FA54"/>
    <w:lvl w:ilvl="0" w:tplc="16B20E38">
      <w:start w:val="1"/>
      <w:numFmt w:val="upperRoman"/>
      <w:lvlText w:val="%1"/>
      <w:lvlJc w:val="left"/>
      <w:pPr>
        <w:ind w:left="2006" w:hanging="118"/>
      </w:pPr>
      <w:rPr>
        <w:rFonts w:ascii="Calibri" w:eastAsia="Calibri" w:hAnsi="Calibri" w:cs="Calibri" w:hint="default"/>
        <w:b w:val="0"/>
        <w:bCs w:val="0"/>
        <w:i/>
        <w:iCs/>
        <w:w w:val="100"/>
        <w:sz w:val="24"/>
        <w:szCs w:val="24"/>
        <w:lang w:val="pt-PT" w:eastAsia="en-US" w:bidi="ar-SA"/>
      </w:rPr>
    </w:lvl>
    <w:lvl w:ilvl="1" w:tplc="F6D01AE4">
      <w:numFmt w:val="bullet"/>
      <w:lvlText w:val="•"/>
      <w:lvlJc w:val="left"/>
      <w:pPr>
        <w:ind w:left="2679" w:hanging="118"/>
      </w:pPr>
      <w:rPr>
        <w:rFonts w:hint="default"/>
        <w:lang w:val="pt-PT" w:eastAsia="en-US" w:bidi="ar-SA"/>
      </w:rPr>
    </w:lvl>
    <w:lvl w:ilvl="2" w:tplc="DE1C8DF2">
      <w:numFmt w:val="bullet"/>
      <w:lvlText w:val="•"/>
      <w:lvlJc w:val="left"/>
      <w:pPr>
        <w:ind w:left="3358" w:hanging="118"/>
      </w:pPr>
      <w:rPr>
        <w:rFonts w:hint="default"/>
        <w:lang w:val="pt-PT" w:eastAsia="en-US" w:bidi="ar-SA"/>
      </w:rPr>
    </w:lvl>
    <w:lvl w:ilvl="3" w:tplc="06C047AC">
      <w:numFmt w:val="bullet"/>
      <w:lvlText w:val="•"/>
      <w:lvlJc w:val="left"/>
      <w:pPr>
        <w:ind w:left="4037" w:hanging="118"/>
      </w:pPr>
      <w:rPr>
        <w:rFonts w:hint="default"/>
        <w:lang w:val="pt-PT" w:eastAsia="en-US" w:bidi="ar-SA"/>
      </w:rPr>
    </w:lvl>
    <w:lvl w:ilvl="4" w:tplc="FF228074">
      <w:numFmt w:val="bullet"/>
      <w:lvlText w:val="•"/>
      <w:lvlJc w:val="left"/>
      <w:pPr>
        <w:ind w:left="4716" w:hanging="118"/>
      </w:pPr>
      <w:rPr>
        <w:rFonts w:hint="default"/>
        <w:lang w:val="pt-PT" w:eastAsia="en-US" w:bidi="ar-SA"/>
      </w:rPr>
    </w:lvl>
    <w:lvl w:ilvl="5" w:tplc="7D72085C">
      <w:numFmt w:val="bullet"/>
      <w:lvlText w:val="•"/>
      <w:lvlJc w:val="left"/>
      <w:pPr>
        <w:ind w:left="5395" w:hanging="118"/>
      </w:pPr>
      <w:rPr>
        <w:rFonts w:hint="default"/>
        <w:lang w:val="pt-PT" w:eastAsia="en-US" w:bidi="ar-SA"/>
      </w:rPr>
    </w:lvl>
    <w:lvl w:ilvl="6" w:tplc="1BF4A34A">
      <w:numFmt w:val="bullet"/>
      <w:lvlText w:val="•"/>
      <w:lvlJc w:val="left"/>
      <w:pPr>
        <w:ind w:left="6074" w:hanging="118"/>
      </w:pPr>
      <w:rPr>
        <w:rFonts w:hint="default"/>
        <w:lang w:val="pt-PT" w:eastAsia="en-US" w:bidi="ar-SA"/>
      </w:rPr>
    </w:lvl>
    <w:lvl w:ilvl="7" w:tplc="EFA644B2">
      <w:numFmt w:val="bullet"/>
      <w:lvlText w:val="•"/>
      <w:lvlJc w:val="left"/>
      <w:pPr>
        <w:ind w:left="6753" w:hanging="118"/>
      </w:pPr>
      <w:rPr>
        <w:rFonts w:hint="default"/>
        <w:lang w:val="pt-PT" w:eastAsia="en-US" w:bidi="ar-SA"/>
      </w:rPr>
    </w:lvl>
    <w:lvl w:ilvl="8" w:tplc="C62868FC">
      <w:numFmt w:val="bullet"/>
      <w:lvlText w:val="•"/>
      <w:lvlJc w:val="left"/>
      <w:pPr>
        <w:ind w:left="7432" w:hanging="118"/>
      </w:pPr>
      <w:rPr>
        <w:rFonts w:hint="default"/>
        <w:lang w:val="pt-PT" w:eastAsia="en-US" w:bidi="ar-SA"/>
      </w:rPr>
    </w:lvl>
  </w:abstractNum>
  <w:abstractNum w:abstractNumId="1">
    <w:nsid w:val="2B731E60"/>
    <w:multiLevelType w:val="hybridMultilevel"/>
    <w:tmpl w:val="1690DC6A"/>
    <w:lvl w:ilvl="0" w:tplc="820A4F1A">
      <w:start w:val="1"/>
      <w:numFmt w:val="upperRoman"/>
      <w:lvlText w:val="%1"/>
      <w:lvlJc w:val="left"/>
      <w:pPr>
        <w:ind w:left="703" w:hanging="11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D8A76DA">
      <w:start w:val="1"/>
      <w:numFmt w:val="lowerRoman"/>
      <w:lvlText w:val="(%2)"/>
      <w:lvlJc w:val="left"/>
      <w:pPr>
        <w:ind w:left="228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10F86E58">
      <w:numFmt w:val="bullet"/>
      <w:lvlText w:val="•"/>
      <w:lvlJc w:val="left"/>
      <w:pPr>
        <w:ind w:left="3003" w:hanging="284"/>
      </w:pPr>
      <w:rPr>
        <w:rFonts w:hint="default"/>
        <w:lang w:val="pt-PT" w:eastAsia="en-US" w:bidi="ar-SA"/>
      </w:rPr>
    </w:lvl>
    <w:lvl w:ilvl="3" w:tplc="85163E4C">
      <w:numFmt w:val="bullet"/>
      <w:lvlText w:val="•"/>
      <w:lvlJc w:val="left"/>
      <w:pPr>
        <w:ind w:left="3726" w:hanging="284"/>
      </w:pPr>
      <w:rPr>
        <w:rFonts w:hint="default"/>
        <w:lang w:val="pt-PT" w:eastAsia="en-US" w:bidi="ar-SA"/>
      </w:rPr>
    </w:lvl>
    <w:lvl w:ilvl="4" w:tplc="3AA07410">
      <w:numFmt w:val="bullet"/>
      <w:lvlText w:val="•"/>
      <w:lvlJc w:val="left"/>
      <w:pPr>
        <w:ind w:left="4450" w:hanging="284"/>
      </w:pPr>
      <w:rPr>
        <w:rFonts w:hint="default"/>
        <w:lang w:val="pt-PT" w:eastAsia="en-US" w:bidi="ar-SA"/>
      </w:rPr>
    </w:lvl>
    <w:lvl w:ilvl="5" w:tplc="FE44267A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8C42319C">
      <w:numFmt w:val="bullet"/>
      <w:lvlText w:val="•"/>
      <w:lvlJc w:val="left"/>
      <w:pPr>
        <w:ind w:left="5897" w:hanging="284"/>
      </w:pPr>
      <w:rPr>
        <w:rFonts w:hint="default"/>
        <w:lang w:val="pt-PT" w:eastAsia="en-US" w:bidi="ar-SA"/>
      </w:rPr>
    </w:lvl>
    <w:lvl w:ilvl="7" w:tplc="AA089080">
      <w:numFmt w:val="bullet"/>
      <w:lvlText w:val="•"/>
      <w:lvlJc w:val="left"/>
      <w:pPr>
        <w:ind w:left="6620" w:hanging="284"/>
      </w:pPr>
      <w:rPr>
        <w:rFonts w:hint="default"/>
        <w:lang w:val="pt-PT" w:eastAsia="en-US" w:bidi="ar-SA"/>
      </w:rPr>
    </w:lvl>
    <w:lvl w:ilvl="8" w:tplc="FDC4FFB4">
      <w:numFmt w:val="bullet"/>
      <w:lvlText w:val="•"/>
      <w:lvlJc w:val="left"/>
      <w:pPr>
        <w:ind w:left="7344" w:hanging="284"/>
      </w:pPr>
      <w:rPr>
        <w:rFonts w:hint="default"/>
        <w:lang w:val="pt-PT" w:eastAsia="en-US" w:bidi="ar-SA"/>
      </w:rPr>
    </w:lvl>
  </w:abstractNum>
  <w:abstractNum w:abstractNumId="2">
    <w:nsid w:val="727F32A3"/>
    <w:multiLevelType w:val="multilevel"/>
    <w:tmpl w:val="A7FC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761BBA"/>
    <w:multiLevelType w:val="multilevel"/>
    <w:tmpl w:val="E5B0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F0"/>
    <w:rsid w:val="000445E2"/>
    <w:rsid w:val="00053CCD"/>
    <w:rsid w:val="000623FE"/>
    <w:rsid w:val="000C0066"/>
    <w:rsid w:val="00116DF8"/>
    <w:rsid w:val="00142214"/>
    <w:rsid w:val="001E3B43"/>
    <w:rsid w:val="003552CB"/>
    <w:rsid w:val="003C1ECE"/>
    <w:rsid w:val="003E5658"/>
    <w:rsid w:val="00400EBD"/>
    <w:rsid w:val="00635E8D"/>
    <w:rsid w:val="00646AB4"/>
    <w:rsid w:val="00647CDF"/>
    <w:rsid w:val="00662C9D"/>
    <w:rsid w:val="00676D4D"/>
    <w:rsid w:val="006B4DCE"/>
    <w:rsid w:val="007959F0"/>
    <w:rsid w:val="007D2595"/>
    <w:rsid w:val="0085036B"/>
    <w:rsid w:val="008C0396"/>
    <w:rsid w:val="009118AC"/>
    <w:rsid w:val="00936F9D"/>
    <w:rsid w:val="009B55BD"/>
    <w:rsid w:val="00A54CE1"/>
    <w:rsid w:val="00AA381D"/>
    <w:rsid w:val="00BB5806"/>
    <w:rsid w:val="00BF3F8E"/>
    <w:rsid w:val="00C374DA"/>
    <w:rsid w:val="00C551BE"/>
    <w:rsid w:val="00D40D6E"/>
    <w:rsid w:val="00D86D42"/>
    <w:rsid w:val="00E20867"/>
    <w:rsid w:val="00E44B21"/>
    <w:rsid w:val="00E45B1F"/>
    <w:rsid w:val="00E509BF"/>
    <w:rsid w:val="00EE0283"/>
    <w:rsid w:val="00F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B56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8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E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74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88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2714" w:right="294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45"/>
      <w:ind w:left="58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38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81D"/>
    <w:rPr>
      <w:rFonts w:ascii="Tahoma" w:eastAsia="Calibri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0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C00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06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00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0066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74DA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8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E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74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88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4"/>
      <w:ind w:left="2714" w:right="294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45"/>
      <w:ind w:left="58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38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81D"/>
    <w:rPr>
      <w:rFonts w:ascii="Tahoma" w:eastAsia="Calibri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0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C00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006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00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0066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74DA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</dc:creator>
  <cp:lastModifiedBy>Ana Carolina Lopes de Souza</cp:lastModifiedBy>
  <cp:revision>2</cp:revision>
  <cp:lastPrinted>2023-09-05T22:33:00Z</cp:lastPrinted>
  <dcterms:created xsi:type="dcterms:W3CDTF">2025-02-24T17:39:00Z</dcterms:created>
  <dcterms:modified xsi:type="dcterms:W3CDTF">2025-02-24T17:39:00Z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2010</vt:lpwstr>
  </property>
</Properties>
</file>